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Open Sans" w:cs="Open Sans" w:eastAsia="Open Sans" w:hAnsi="Open San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Open Sans" w:cs="Open Sans" w:eastAsia="Open Sans" w:hAnsi="Open San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Open Sans" w:cs="Open Sans" w:eastAsia="Open Sans" w:hAnsi="Open Sans"/>
          <w:color w:val="2222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22222"/>
          <w:rtl w:val="0"/>
        </w:rPr>
        <w:t xml:space="preserve">Links to specific demographics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Open Sans" w:cs="Open Sans" w:eastAsia="Open Sans" w:hAnsi="Open San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Open Sans" w:cs="Open Sans" w:eastAsia="Open Sans" w:hAnsi="Open Sans"/>
          <w:color w:val="222222"/>
        </w:rPr>
      </w:pPr>
      <w:r w:rsidDel="00000000" w:rsidR="00000000" w:rsidRPr="00000000">
        <w:rPr>
          <w:rFonts w:ascii="Open Sans" w:cs="Open Sans" w:eastAsia="Open Sans" w:hAnsi="Open Sans"/>
          <w:color w:val="222222"/>
          <w:rtl w:val="0"/>
        </w:rPr>
        <w:t xml:space="preserve">Some of these groups are small or nascent organisations and do not yet have websites. We have listed their preferred channels of communications.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Open Sans" w:cs="Open Sans" w:eastAsia="Open Sans" w:hAnsi="Open Sans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Organisation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Platform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Action for Trustee Racial Diversity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222222"/>
              </w:rPr>
            </w:pPr>
            <w:hyperlink r:id="rId6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Website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Young Trustees Movement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222222"/>
              </w:rPr>
            </w:pPr>
            <w:hyperlink r:id="rId7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Website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Queer Trustees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222222"/>
              </w:rPr>
            </w:pPr>
            <w:hyperlink r:id="rId8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Twitter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rPr>
          <w:rFonts w:ascii="Open Sans" w:cs="Open Sans" w:eastAsia="Open Sans" w:hAnsi="Open San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Open Sans" w:cs="Open Sans" w:eastAsia="Open Sans" w:hAnsi="Open Sans"/>
          <w:color w:val="2222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3367088" cy="168354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67088" cy="1683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atrd.group/" TargetMode="External"/><Relationship Id="rId7" Type="http://schemas.openxmlformats.org/officeDocument/2006/relationships/hyperlink" Target="https://youngtrusteesmovement.org/" TargetMode="External"/><Relationship Id="rId8" Type="http://schemas.openxmlformats.org/officeDocument/2006/relationships/hyperlink" Target="https://twitter.com/QueerTrustees?ref_src=twsrc%5Egoogle%7Ctwcamp%5Eserp%7Ctwgr%5Eautho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